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Biochemistry, Genetics and Molecular Biology</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Ms_AJBGMB_152036</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Biologic and molecular integrative approach for the diagnosis of hemoglobinopathies</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vbua3fjoecrn" w:id="0"/>
      <w:bookmarkEnd w:id="0"/>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6">
            <w:pPr>
              <w:rPr>
                <w:vertAlign w:val="baseline"/>
              </w:rPr>
            </w:pPr>
            <w:r w:rsidDel="00000000" w:rsidR="00000000" w:rsidRPr="00000000">
              <w:rPr>
                <w:rtl w:val="0"/>
              </w:rPr>
            </w:r>
          </w:p>
        </w:tc>
        <w:tc>
          <w:tcPr>
            <w:vAlign w:val="top"/>
          </w:tcPr>
          <w:p w:rsidR="00000000" w:rsidDel="00000000" w:rsidP="00000000" w:rsidRDefault="00000000" w:rsidRPr="00000000" w14:paraId="00000017">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A">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demonstrates that integrating genetic sequencing into hemoglobinopathy diagnosis is essential to correct phenotypic misinterpretations and enable accurate genetic counseling. Its findings provide a practical framework for improving diagnostic standards and prevention strategies in high-prevalence regions.</w:t>
            </w:r>
          </w:p>
        </w:tc>
        <w:tc>
          <w:tcPr>
            <w:vAlign w:val="top"/>
          </w:tcPr>
          <w:p w:rsidR="00000000" w:rsidDel="00000000" w:rsidP="00000000" w:rsidRDefault="00000000" w:rsidRPr="00000000" w14:paraId="0000001C">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0">
            <w:pPr>
              <w:ind w:left="360" w:firstLine="0"/>
              <w:rPr>
                <w:sz w:val="20"/>
                <w:szCs w:val="20"/>
                <w:vertAlign w:val="baseline"/>
              </w:rPr>
            </w:pPr>
            <w:r w:rsidDel="00000000" w:rsidR="00000000" w:rsidRPr="00000000">
              <w:rPr>
                <w:sz w:val="20"/>
                <w:szCs w:val="20"/>
                <w:vertAlign w:val="baseline"/>
                <w:rtl w:val="0"/>
              </w:rPr>
              <w:t xml:space="preserve">YES</w:t>
            </w:r>
          </w:p>
        </w:tc>
        <w:tc>
          <w:tcPr>
            <w:vAlign w:val="top"/>
          </w:tcPr>
          <w:p w:rsidR="00000000" w:rsidDel="00000000" w:rsidP="00000000" w:rsidRDefault="00000000" w:rsidRPr="00000000" w14:paraId="00000021">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2">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3">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4">
            <w:pPr>
              <w:ind w:left="360" w:firstLine="0"/>
              <w:rPr>
                <w:sz w:val="20"/>
                <w:szCs w:val="20"/>
                <w:vertAlign w:val="baseline"/>
              </w:rPr>
            </w:pPr>
            <w:r w:rsidDel="00000000" w:rsidR="00000000" w:rsidRPr="00000000">
              <w:rPr>
                <w:sz w:val="20"/>
                <w:szCs w:val="20"/>
                <w:vertAlign w:val="baseline"/>
                <w:rtl w:val="0"/>
              </w:rPr>
              <w:t xml:space="preserve">Its Perfect</w:t>
            </w:r>
          </w:p>
        </w:tc>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6">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vAlign w:val="top"/>
          </w:tcPr>
          <w:p w:rsidR="00000000" w:rsidDel="00000000" w:rsidP="00000000" w:rsidRDefault="00000000" w:rsidRPr="00000000" w14:paraId="0000002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9">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w:t>
            </w:r>
          </w:p>
        </w:tc>
        <w:tc>
          <w:tcPr>
            <w:vAlign w:val="top"/>
          </w:tcPr>
          <w:p w:rsidR="00000000" w:rsidDel="00000000" w:rsidP="00000000" w:rsidRDefault="00000000" w:rsidRPr="00000000" w14:paraId="0000002B">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C">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D">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E">
            <w:pPr>
              <w:rPr>
                <w:sz w:val="20"/>
                <w:szCs w:val="20"/>
                <w:vertAlign w:val="baseline"/>
              </w:rPr>
            </w:pPr>
            <w:r w:rsidDel="00000000" w:rsidR="00000000" w:rsidRPr="00000000">
              <w:rPr>
                <w:sz w:val="20"/>
                <w:szCs w:val="20"/>
                <w:vertAlign w:val="baseline"/>
                <w:rtl w:val="0"/>
              </w:rPr>
              <w:t xml:space="preserve">Good</w:t>
            </w:r>
          </w:p>
        </w:tc>
        <w:tc>
          <w:tcPr>
            <w:vAlign w:val="top"/>
          </w:tcPr>
          <w:p w:rsidR="00000000" w:rsidDel="00000000" w:rsidP="00000000" w:rsidRDefault="00000000" w:rsidRPr="00000000" w14:paraId="0000002F">
            <w:pPr>
              <w:rPr>
                <w:sz w:val="20"/>
                <w:szCs w:val="20"/>
                <w:vertAlign w:val="baseline"/>
              </w:rPr>
            </w:pP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2">
            <w:pPr>
              <w:rPr>
                <w:vertAlign w:val="baseline"/>
              </w:rPr>
            </w:pPr>
            <w:bookmarkStart w:colFirst="0" w:colLast="0" w:name="_heading=h.u874jagtigzi" w:id="1"/>
            <w:bookmarkEnd w:id="1"/>
            <w:r w:rsidDel="00000000" w:rsidR="00000000" w:rsidRPr="00000000">
              <w:rPr>
                <w:b w:val="1"/>
                <w:bCs w:val="1"/>
                <w:sz w:val="20"/>
                <w:szCs w:val="20"/>
                <w:vertAlign w:val="baseline"/>
                <w:rtl w:val="0"/>
              </w:rPr>
              <w:t xml:space="preserve"> </w:t>
            </w:r>
            <w:r w:rsidDel="00000000" w:rsidR="00000000" w:rsidRPr="00000000">
              <w:rPr>
                <w:vertAlign w:val="baseline"/>
                <w:rtl w:val="0"/>
              </w:rPr>
              <w:t xml:space="preserve">This manuscript presents a compelling case for an integrated diagnostic approach to hemoglobinopathies but requires minor editorial revisions for consistency, clarity, and accuracy, including standardizing the spelling of "Hemoglobinopathies," correcting the study dates from the future (2025) to the actual period, resolving the duplicate caption for Figures 2 and 3, fixing the incomplete HbC mutation (c.19G&gt;) to c.19G&gt;A in Table 3 and the text, verifying the unusually high HbA2+C value (46.3%) for Case 5 in Table 1, clarifying the missing Table 2 or renumbering the tables presented, ensuring consistent formatting for Hb variants (e.g., HbS) and Greek letters (β⁰, β⁺), and improving grammatical flow in several sections such as the Abstract and Discussion to enhance overall professionalism and precision.</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4"/>
                <w:szCs w:val="24"/>
                <w:u w:val="none"/>
                <w:shd w:fill="auto" w:val="clear"/>
                <w:vertAlign w:val="baseline"/>
                <w:rtl w:val="0"/>
              </w:rPr>
              <w:t xml:space="preserve">As this research involves human participants, it is essential to include a statement confirming ethical approval (including the name of the approving committee and the reference number) within the Methods section. (Accepted with Minor Revisions).</w:t>
            </w:r>
            <w:r w:rsidDel="00000000" w:rsidR="00000000" w:rsidRPr="00000000">
              <w:rPr>
                <w:rtl w:val="0"/>
              </w:rPr>
            </w:r>
          </w:p>
        </w:tc>
        <w:tc>
          <w:tcPr>
            <w:vAlign w:val="top"/>
          </w:tcPr>
          <w:p w:rsidR="00000000" w:rsidDel="00000000" w:rsidP="00000000" w:rsidRDefault="00000000" w:rsidRPr="00000000" w14:paraId="00000034">
            <w:pPr>
              <w:spacing w:after="160" w:line="276" w:lineRule="auto"/>
              <w:jc w:val="both"/>
              <w:rPr>
                <w:rFonts w:ascii="Aptos" w:cs="Aptos" w:eastAsia="Aptos" w:hAnsi="Aptos"/>
                <w:i w:val="1"/>
                <w:iCs w:val="1"/>
                <w:color w:val="002060"/>
                <w:sz w:val="22"/>
                <w:szCs w:val="22"/>
              </w:rPr>
            </w:pPr>
            <w:r w:rsidDel="00000000" w:rsidR="00000000" w:rsidRPr="00000000">
              <w:rPr>
                <w:rFonts w:ascii="Arial" w:cs="Arial" w:eastAsia="Arial" w:hAnsi="Arial"/>
                <w:b w:val="1"/>
                <w:bCs w:val="1"/>
                <w:sz w:val="20"/>
                <w:szCs w:val="20"/>
                <w:rtl w:val="0"/>
              </w:rPr>
              <w:t xml:space="preserve">Table 2 : Findings of hemoglobin electrophoresis and Sanger sequencing</w:t>
            </w:r>
            <w:r w:rsidDel="00000000" w:rsidR="00000000" w:rsidRPr="00000000">
              <w:rPr>
                <w:rFonts w:ascii="Aptos" w:cs="Aptos" w:eastAsia="Aptos" w:hAnsi="Aptos"/>
                <w:i w:val="1"/>
                <w:iCs w:val="1"/>
                <w:color w:val="002060"/>
                <w:sz w:val="22"/>
                <w:szCs w:val="22"/>
                <w:rtl w:val="0"/>
              </w:rPr>
              <w:t xml:space="preserve"> </w:t>
            </w:r>
          </w:p>
          <w:p w:rsidR="00000000" w:rsidDel="00000000" w:rsidP="00000000" w:rsidRDefault="00000000" w:rsidRPr="00000000" w14:paraId="00000035">
            <w:pPr>
              <w:spacing w:after="160" w:line="276" w:lineRule="auto"/>
              <w:jc w:val="both"/>
              <w:rPr>
                <w:rFonts w:ascii="Aptos" w:cs="Aptos" w:eastAsia="Aptos" w:hAnsi="Aptos"/>
                <w:i w:val="1"/>
                <w:iCs w:val="1"/>
                <w:color w:val="002060"/>
                <w:sz w:val="22"/>
                <w:szCs w:val="22"/>
              </w:rPr>
            </w:pPr>
            <w:r w:rsidDel="00000000" w:rsidR="00000000" w:rsidRPr="00000000">
              <w:rPr>
                <w:rFonts w:ascii="Aptos" w:cs="Aptos" w:eastAsia="Aptos" w:hAnsi="Aptos"/>
                <w:i w:val="1"/>
                <w:iCs w:val="1"/>
                <w:color w:val="002060"/>
                <w:sz w:val="22"/>
                <w:szCs w:val="22"/>
                <w:rtl w:val="0"/>
              </w:rPr>
              <w:t xml:space="preserve">We corrected the figures duplicates and the mutations annotation and Greek letters</w:t>
            </w:r>
          </w:p>
        </w:tc>
      </w:tr>
    </w:tb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8">
            <w:pPr>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9">
            <w:pPr>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3C">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3D">
            <w:pPr>
              <w:keepNext w:val="1"/>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3E">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3F">
            <w:pPr>
              <w:keepNext w:val="1"/>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40">
            <w:pPr>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1">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2">
            <w:pPr>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3">
            <w:pP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4">
            <w:pPr>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Ethical approval is still pending.</w:t>
            </w:r>
            <w:r w:rsidDel="00000000" w:rsidR="00000000" w:rsidRPr="00000000">
              <w:rPr>
                <w:rtl w:val="0"/>
              </w:rPr>
            </w:r>
          </w:p>
          <w:p w:rsidR="00000000" w:rsidDel="00000000" w:rsidP="00000000" w:rsidRDefault="00000000" w:rsidRPr="00000000" w14:paraId="00000045">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6">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7">
      <w:pPr>
        <w:rPr>
          <w:vertAlign w:val="baseline"/>
        </w:rPr>
      </w:pPr>
      <w:r w:rsidDel="00000000" w:rsidR="00000000" w:rsidRPr="00000000">
        <w:rPr>
          <w:rtl w:val="0"/>
        </w:rPr>
      </w:r>
    </w:p>
    <w:p w:rsidR="00000000" w:rsidDel="00000000" w:rsidP="00000000" w:rsidRDefault="00000000" w:rsidRPr="00000000" w14:paraId="00000048">
      <w:pPr>
        <w:rPr>
          <w:vertAlign w:val="baseline"/>
        </w:rPr>
      </w:pPr>
      <w:r w:rsidDel="00000000" w:rsidR="00000000" w:rsidRPr="00000000">
        <w:rPr>
          <w:rtl w:val="0"/>
        </w:rPr>
      </w:r>
    </w:p>
    <w:p w:rsidR="00000000" w:rsidDel="00000000" w:rsidP="00000000" w:rsidRDefault="00000000" w:rsidRPr="00000000" w14:paraId="00000049">
      <w:pPr>
        <w:rPr>
          <w:u w:val="single"/>
          <w:vertAlign w:val="baseline"/>
        </w:rPr>
      </w:pPr>
      <w:r w:rsidDel="00000000" w:rsidR="00000000" w:rsidRPr="00000000">
        <w:rPr>
          <w:rtl w:val="0"/>
        </w:rPr>
      </w:r>
    </w:p>
    <w:p w:rsidR="00000000" w:rsidDel="00000000" w:rsidP="00000000" w:rsidRDefault="00000000" w:rsidRPr="00000000" w14:paraId="0000004A">
      <w:pPr>
        <w:rP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ptos"/>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D">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bgmb.com/index.php/AJBGMB"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u7EC8GC92E/dfWPWTIlf1ta3zg==">CgMxLjAyDmgudmJ1YTNmam9lY3JuMg5oLnU4NzRqYWd0aWd6aTgAciExb1NxcEhmTHFTaGpPWUVveWVkX09WTHNRQWZyM1AzM0M=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